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ackground w:color="ffffff"/>
  <w:body>
    <w:tbl>
      <w:tblPr>
        <w:tblW w:w="9381" w:type="dxa"/>
        <w:tblLook w:val="00A0" w:firstRow="1" w:lastRow="0" w:firstColumn="1" w:lastColumn="0" w:noHBand="0" w:noVBand="0"/>
        <w:tblLayout w:type="fixed"/>
        <w:tblCellMar>
          <w:top w:w="0" w:type="dxa"/>
          <w:left w:w="0" w:type="dxa"/>
          <w:bottom w:w="0" w:type="dxa"/>
          <w:right w:w="0" w:type="dxa"/>
        </w:tblCellMar>
      </w:tblPr>
      <w:tblGrid>
        <w:gridCol w:w="3261"/>
        <w:gridCol w:w="6120"/>
      </w:tblGrid>
      <w:tr>
        <w:trPr>
          <w:trHeight w:val="1758" w:hRule="atLeast"/>
        </w:trPr>
        <w:tc>
          <w:tcPr>
            <w:tcW w:w="3261" w:type="dxa"/>
          </w:tcPr>
          <w:p>
            <w:pPr>
              <w:adjustRightInd/>
              <w:ind w:left="65" w:right="65"/>
              <w:autoSpaceDE w:val="off"/>
              <w:autoSpaceDN w:val="off"/>
              <w:keepNext/>
              <w:keepLines/>
              <w:tabs>
                <w:tab w:val="left" w:pos="3485"/>
              </w:tabs>
              <w:rPr>
                <w:lang w:val="es-CL" w:eastAsia="es-ES"/>
                <w:rFonts w:ascii="Courier New" w:hAnsi="Courier New" w:cs="Courier New"/>
                <w:color w:val="000000"/>
              </w:rPr>
            </w:pPr>
            <w:r>
              <w:rPr>
                <w:lang w:val="en-US" w:eastAsia="en-US"/>
                <w:rFonts w:ascii="Courier New" w:hAnsi="Courier New" w:cs="Courier New"/>
                <w:noProof/>
                <w:color w:val="000000"/>
              </w:rPr>
              <w:drawing>
                <wp:inline distT="0" distB="0" distL="0" distR="0">
                  <wp:extent cx="1126246" cy="1258690"/>
                  <wp:effectExtent l="0" t="0" r="0" b="0"/>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l="4120" r="4120"/>
                          <a:stretch>
                            <a:fillRect/>
                          </a:stretch>
                        </pic:blipFill>
                        <pic:spPr>
                          <a:xfrm>
                            <a:off x="0" y="0"/>
                            <a:ext cx="1126246" cy="1258690"/>
                          </a:xfrm>
                          <a:prstGeom prst="rect"/>
                          <a:noFill/>
                          <a:ln>
                            <a:noFill/>
                            <a:miter lim="800000"/>
                          </a:ln>
                        </pic:spPr>
                      </pic:pic>
                    </a:graphicData>
                  </a:graphic>
                </wp:inline>
              </w:drawing>
            </w:r>
          </w:p>
        </w:tc>
        <w:tc>
          <w:tcPr>
            <w:tcW w:w="6120" w:type="dxa"/>
          </w:tcPr>
          <w:p>
            <w:pPr>
              <w:adjustRightInd/>
              <w:ind w:left="29" w:right="29"/>
              <w:autoSpaceDE w:val="off"/>
              <w:autoSpaceDN w:val="off"/>
              <w:keepNext/>
              <w:keepLines/>
              <w:jc w:val="both"/>
              <w:rPr>
                <w:lang w:val="en-US" w:eastAsia="es-ES" w:bidi="ar-SA"/>
                <w:rFonts w:ascii="Arial" w:eastAsia="Arial" w:hAnsi="Arial" w:cs="Arial" w:hint="default"/>
                <w:b/>
                <w:color w:val="000000"/>
                <w:sz w:val="32"/>
              </w:rPr>
            </w:pPr>
            <w:r>
              <w:rPr>
                <w:lang w:val="en-US" w:eastAsia="es-ES" w:bidi="ar-SA"/>
                <w:rFonts w:ascii="Arial" w:eastAsia="Arial" w:hAnsi="Arial" w:cs="Arial" w:hint="default"/>
                <w:b/>
                <w:color w:val="000000"/>
                <w:sz w:val="32"/>
              </w:rPr>
              <w:t>Daniel Guillermo Pérez Gutiérrez</w:t>
            </w:r>
          </w:p>
          <w:p>
            <w:pPr>
              <w:adjustRightInd/>
              <w:ind w:left="29" w:right="29"/>
              <w:autoSpaceDE w:val="off"/>
              <w:autoSpaceDN w:val="off"/>
              <w:keepNext/>
              <w:keepLines/>
              <w:jc w:val="both"/>
              <w:rPr>
                <w:lang w:val="en-US" w:eastAsia="es-ES" w:bidi="ar-SA"/>
                <w:rFonts w:ascii="Arial" w:eastAsia="Arial" w:hAnsi="Arial" w:cs="Arial" w:hint="default"/>
                <w:b/>
                <w:color w:val="000000"/>
                <w:sz w:val="32"/>
              </w:rPr>
            </w:pPr>
            <w:r>
              <w:rPr>
                <w:lang w:val="en-US" w:eastAsia="es-ES" w:bidi="ar-SA"/>
                <w:rFonts w:ascii="Arial" w:eastAsia="Arial" w:hAnsi="Arial" w:cs="Arial" w:hint="default"/>
                <w:b/>
                <w:color w:val="000000"/>
                <w:sz w:val="32"/>
              </w:rPr>
              <w:t>MBA, MEE, Ing.</w:t>
            </w:r>
          </w:p>
          <w:p>
            <w:pPr>
              <w:adjustRightInd/>
              <w:ind w:left="29" w:right="29"/>
              <w:autoSpaceDE w:val="off"/>
              <w:autoSpaceDN w:val="off"/>
              <w:keepNext/>
              <w:keepLines/>
              <w:jc w:val="both"/>
              <w:rPr>
                <w:lang w:val="en-US" w:eastAsia="es-ES" w:bidi="ar-SA"/>
                <w:rFonts w:ascii="Courier New" w:eastAsia="Times New Roman" w:hAnsi="Courier New" w:cs="Courier New"/>
                <w:color w:val="4C89CC"/>
                <w:sz w:val="24"/>
              </w:rPr>
            </w:pPr>
            <w:r>
              <w:rPr>
                <w:lang w:val="en-US" w:eastAsia="es-ES" w:bidi="ar-SA"/>
                <w:rFonts w:ascii="Courier New" w:eastAsia="Times New Roman" w:hAnsi="Courier New" w:cs="Courier New" w:hint="default"/>
                <w:color w:val="4C89CC"/>
                <w:sz w:val="24"/>
              </w:rPr>
              <w:t>daniel.perez.gutierrez@gmail.com</w:t>
            </w:r>
          </w:p>
          <w:p>
            <w:pPr>
              <w:adjustRightInd/>
              <w:ind w:left="29" w:right="29"/>
              <w:autoSpaceDE w:val="off"/>
              <w:autoSpaceDN w:val="off"/>
              <w:keepNext/>
              <w:keepLines/>
              <w:jc w:val="both"/>
              <w:rPr>
                <w:lang w:val="en-US" w:eastAsia="es-ES" w:bidi="ar-SA"/>
                <w:rFonts w:ascii="Courier New" w:eastAsia="Times New Roman" w:hAnsi="Courier New" w:cs="Courier New"/>
                <w:color w:val="4C89CC"/>
                <w:sz w:val="24"/>
              </w:rPr>
            </w:pPr>
            <w:r>
              <w:rPr>
                <w:lang w:val="en-US" w:eastAsia="es-ES" w:bidi="ar-SA"/>
                <w:rFonts w:ascii="Courier New" w:eastAsia="Times New Roman" w:hAnsi="Courier New" w:cs="Courier New" w:hint="default"/>
                <w:color w:val="4C89CC"/>
                <w:sz w:val="24"/>
              </w:rPr>
              <w:t>dperezg73@yahoo.com</w:t>
            </w:r>
          </w:p>
          <w:p>
            <w:pPr>
              <w:adjustRightInd/>
              <w:ind w:left="29" w:right="29"/>
              <w:autoSpaceDE w:val="off"/>
              <w:autoSpaceDN w:val="off"/>
              <w:keepNext/>
              <w:keepLines/>
              <w:jc w:val="both"/>
              <w:rPr>
                <w:lang w:val="en-US" w:eastAsia="es-ES" w:bidi="ar-SA"/>
                <w:rFonts w:ascii="Courier New" w:eastAsia="Times New Roman" w:hAnsi="Courier New" w:cs="Courier New" w:hint="default"/>
                <w:b/>
                <w:color w:val="000000"/>
                <w:sz w:val="24"/>
              </w:rPr>
            </w:pPr>
            <w:r>
              <w:rPr>
                <w:lang w:val="en-US" w:eastAsia="es-ES" w:bidi="ar-SA"/>
                <w:rFonts w:ascii="Arial" w:eastAsia="Arial" w:hAnsi="Arial" w:cs="Arial" w:hint="default"/>
                <w:b/>
                <w:color w:val="000000"/>
                <w:sz w:val="24"/>
              </w:rPr>
              <w:t>+56 9 7708 6913</w:t>
            </w:r>
            <w:r>
              <w:rPr>
                <w:lang w:val="en-US" w:eastAsia="es-ES" w:bidi="ar-SA"/>
                <w:rFonts w:ascii="Courier New" w:eastAsia="Times New Roman" w:hAnsi="Courier New" w:cs="Courier New" w:hint="default"/>
                <w:b/>
                <w:color w:val="000000"/>
                <w:sz w:val="24"/>
              </w:rPr>
              <w:t xml:space="preserve">                    </w:t>
            </w:r>
          </w:p>
          <w:p>
            <w:pPr>
              <w:pStyle w:val="BodyText"/>
              <w:ind w:left="0"/>
              <w:rPr>
                <w:lang w:val="es-CL" w:eastAsia="es-ES"/>
                <w:rFonts w:ascii="Courier New" w:hAnsi="Courier New" w:cs="Courier New"/>
                <w:color w:val="000000"/>
              </w:rPr>
            </w:pPr>
          </w:p>
        </w:tc>
      </w:tr>
    </w:tbl>
    <w:p>
      <w:pPr>
        <w:pStyle w:val="normal"/>
        <w:ind w:left="0" w:firstLine="0"/>
        <w:jc w:val="left"/>
        <w:spacing w:line="264" w:lineRule="auto"/>
        <w:rPr>
          <w:lang w:val="es-CL"/>
          <w:rFonts w:ascii="Arial" w:hAnsi="Arial" w:cs="Arial"/>
          <w:b/>
          <w:sz w:val="18"/>
          <w:szCs w:val="18"/>
        </w:rPr>
      </w:pPr>
      <w:r>
        <w:rPr>
          <w:lang w:val="es-CL"/>
          <w:rFonts w:ascii="Arial" w:hAnsi="Arial" w:cs="Arial"/>
          <w:b/>
          <w:noProof/>
          <w:sz w:val="18"/>
          <w:szCs w:val="18"/>
        </w:rPr>
        <mc:AlternateContent>
          <mc:Choice Requires="wps">
            <w:drawing>
              <wp:anchor distT="0" distB="0" distL="114300" distR="114300" behindDoc="0" locked="0" layoutInCell="1" simplePos="0" relativeHeight="251657728" allowOverlap="1" hidden="0">
                <wp:simplePos x="0" y="0"/>
                <wp:positionH relativeFrom="column">
                  <wp:posOffset>0</wp:posOffset>
                </wp:positionH>
                <wp:positionV relativeFrom="paragraph">
                  <wp:posOffset>104140</wp:posOffset>
                </wp:positionV>
                <wp:extent cx="5631815" cy="0"/>
                <wp:effectExtent l="19050" t="19050" r="19050" b="19050"/>
                <wp:wrapNone/>
                <wp:docPr id="1027" name="shape1027" hidden="0"/>
                <wp:cNvGraphicFramePr/>
                <a:graphic xmlns:a="http://schemas.openxmlformats.org/drawingml/2006/main">
                  <a:graphicData uri="http://schemas.microsoft.com/office/word/2010/wordprocessingShape">
                    <wps:wsp>
                      <wps:cNvSpPr>
                        <a:spLocks noRot="1"/>
                      </wps:cNvSpPr>
                      <wps:spPr>
                        <a:xfrm>
                          <a:off x="0" y="0"/>
                          <a:ext cx="5631815" cy="0"/>
                        </a:xfrm>
                        <a:prstGeom prst="line">
                          <a:avLst/>
                        </a:prstGeom>
                        <a:ln w="28575">
                          <a:solidFill>
                            <a:prstClr val="black"/>
                          </a:solidFill>
                        </a:ln>
                      </wps:spPr>
                      <wps:bodyPr rot="0" vert="horz" wrap="square" lIns="91440" tIns="45720" rIns="91440" bIns="45720" anchor="ctr">
                        <a:noAutofit/>
                      </wps:bodyPr>
                    </wps:wsp>
                  </a:graphicData>
                </a:graphic>
              </wp:anchor>
            </w:drawing>
          </mc:Choice>
          <mc:Fallback>
            <w:pict>
              <v:line id="line 2" style="position:absolute;margin-left:0pt;margin-top:8.2pt;width:443.45pt;height:0pt;mso-wrap-style:infront;mso-position-horizontal-relative:column;mso-position-vertical-relative:line;v-text-anchor:middle;z-index:251657728" filled="f" stroked="t" strokecolor="#0" strokeweight="2.25pt">
                <v:stroke joinstyle="round"/>
              </v:line>
            </w:pict>
          </mc:Fallback>
        </mc:AlternateContent>
      </w:r>
    </w:p>
    <w:p>
      <w:pPr>
        <w:jc w:val="both"/>
        <w:rPr>
          <w:lang w:val="es-CL"/>
          <w:rFonts w:ascii="Arial" w:hAnsi="Arial" w:cs="Arial"/>
          <w:b/>
          <w:bCs/>
          <w:sz w:val="20"/>
        </w:rPr>
      </w:pPr>
    </w:p>
    <w:p>
      <w:pPr>
        <w:jc w:val="both"/>
        <w:rPr>
          <w:lang w:val="es-CL"/>
          <w:rFonts w:ascii="Arial" w:hAnsi="Arial" w:cs="Arial"/>
          <w:b/>
          <w:bCs/>
          <w:sz w:val="20"/>
        </w:rPr>
      </w:pPr>
      <w:r>
        <w:rPr>
          <w:lang w:val="es-CL"/>
          <w:rFonts w:ascii="Arial" w:hAnsi="Arial" w:cs="Arial"/>
          <w:b/>
          <w:bCs/>
          <w:sz w:val="20"/>
        </w:rPr>
        <w:t>Daniel posee más de 17 años de experiencia como Gerente de Proyectos, Gerente de Ingeniería, Lider Disciplina Mecánica, Piping y Layout, Ingeniero de Proyectos, Ingeniero Senior, en proyectos mineros Subterráneos y de Superficie además de proyectos industriales e infraestructura, docencia en Universidades y consultoría.</w:t>
      </w:r>
    </w:p>
    <w:p>
      <w:pPr>
        <w:jc w:val="both"/>
        <w:rPr>
          <w:lang w:val="en-US" w:eastAsia="es-CL" w:bidi="ar-SA"/>
          <w:rFonts w:ascii="Arial" w:eastAsia="Times New Roman" w:hAnsi="Arial" w:cs="Arial"/>
          <w:b/>
          <w:bCs/>
          <w:sz w:val="20"/>
        </w:rPr>
      </w:pPr>
    </w:p>
    <w:p>
      <w:pPr>
        <w:jc w:val="both"/>
        <w:rPr>
          <w:lang w:val="en-US" w:eastAsia="es-CL" w:bidi="ar-SA"/>
          <w:rFonts w:ascii="Arial" w:eastAsia="Times New Roman" w:hAnsi="Arial" w:cs="Arial"/>
          <w:b/>
          <w:bCs/>
          <w:sz w:val="20"/>
        </w:rPr>
      </w:pPr>
      <w:r>
        <w:rPr>
          <w:lang w:val="en-US" w:eastAsia="es-CL" w:bidi="ar-SA"/>
          <w:rFonts w:ascii="Arial" w:eastAsia="Times New Roman" w:hAnsi="Arial" w:cs="Arial" w:hint="default"/>
          <w:b/>
          <w:bCs/>
          <w:sz w:val="20"/>
        </w:rPr>
        <w:t>Gran parte de su experiencia esta fuertemente orientada a Sistemas de Manejo de Materiales y Plantas Concentradoras, en particular equipos como chancadores giratorios, chancadores de mandibula y cono, equipos de clasificación, HPGR, molinos de bola, molinos de barras y SAG, diseño de correas transportadoras, alimentadores, sistemas de apilamiento y recuperación, grúas portuarias, cargadores de barco, sistemas de bombeo, sistemas de flotación, espesadores, sistemas de filtrado, etc.</w:t>
      </w:r>
    </w:p>
    <w:p>
      <w:pPr>
        <w:jc w:val="both"/>
        <w:rPr>
          <w:lang w:val="en-US" w:eastAsia="es-CL" w:bidi="ar-SA"/>
          <w:rFonts w:ascii="Arial" w:eastAsia="Times New Roman" w:hAnsi="Arial" w:cs="Arial"/>
          <w:b/>
          <w:bCs/>
          <w:sz w:val="20"/>
        </w:rPr>
      </w:pPr>
    </w:p>
    <w:p>
      <w:pPr>
        <w:jc w:val="both"/>
        <w:rPr>
          <w:lang w:val="es-CL"/>
          <w:rFonts w:ascii="Arial" w:hAnsi="Arial" w:cs="Arial"/>
          <w:b/>
          <w:bCs/>
          <w:sz w:val="20"/>
        </w:rPr>
      </w:pPr>
      <w:r>
        <w:rPr>
          <w:lang w:val="es-CL"/>
          <w:rFonts w:ascii="Arial" w:hAnsi="Arial" w:cs="Arial"/>
          <w:b/>
          <w:bCs/>
          <w:sz w:val="20"/>
        </w:rPr>
        <w:t xml:space="preserve">Posee una visión global de la problemática energética y tiene las herramientas para enfrentar los nuevos desafíos que implican el desarrollo económico a nivel mundial en el campo energético, y la interacción óptima y eficaz como profesional multidisciplinario. </w:t>
      </w:r>
    </w:p>
    <w:p>
      <w:pPr>
        <w:jc w:val="both"/>
        <w:rPr>
          <w:lang w:val="es-CL"/>
          <w:rFonts w:ascii="Arial" w:hAnsi="Arial" w:cs="Arial"/>
          <w:b/>
          <w:bCs/>
          <w:sz w:val="20"/>
        </w:rPr>
      </w:pPr>
    </w:p>
    <w:p>
      <w:pPr>
        <w:adjustRightInd/>
        <w:autoSpaceDE w:val="off"/>
        <w:autoSpaceDN w:val="off"/>
        <w:jc w:val="both"/>
        <w:rPr>
          <w:lang w:val="es-CL"/>
          <w:rFonts w:ascii="Arial" w:hAnsi="Arial" w:cs="Arial"/>
          <w:b/>
          <w:bCs/>
          <w:sz w:val="20"/>
        </w:rPr>
      </w:pPr>
      <w:r>
        <w:rPr>
          <w:lang w:val="es-CL"/>
          <w:rFonts w:ascii="Arial" w:hAnsi="Arial" w:cs="Arial"/>
          <w:b/>
          <w:bCs/>
          <w:sz w:val="20"/>
        </w:rPr>
        <w:t>Ha desempeñado funciones en Gerencia de Proyectos e Ingeniería en todo el ámbito de proyectos Mineros e Industriales incluso prestando soporte a varios proyectos tanto en Chile como el extranjero en asignación internacional</w:t>
      </w:r>
      <w:r>
        <w:rPr>
          <w:lang w:eastAsia="es-ES"/>
          <w:rFonts w:ascii="Arial" w:hAnsi="Arial" w:cs="Arial"/>
          <w:b/>
          <w:bCs/>
          <w:sz w:val="20"/>
        </w:rPr>
        <w:t>. Actualmente se desempeña como Líder Mecánico para la Planta de Beneficio del Proyecto EPC "Ma'aden Phosphate Project" representando al cliente.</w:t>
      </w:r>
    </w:p>
    <w:p>
      <w:pPr>
        <w:jc w:val="both"/>
        <w:rPr>
          <w:lang w:val="es-CL"/>
          <w:rFonts w:ascii="Arial" w:hAnsi="Arial" w:cs="Arial"/>
          <w:b/>
          <w:bCs/>
          <w:sz w:val="20"/>
        </w:rPr>
      </w:pPr>
    </w:p>
    <w:p>
      <w:pPr>
        <w:adjustRightInd/>
        <w:autoSpaceDE w:val="off"/>
        <w:autoSpaceDN w:val="off"/>
        <w:jc w:val="both"/>
        <w:rPr>
          <w:lang w:val="es-CL" w:eastAsia="es-ES"/>
          <w:rFonts w:ascii="Helv" w:hAnsi="Helv" w:cs="Helv"/>
          <w:b/>
          <w:bCs/>
          <w:color w:val="806210"/>
          <w:sz w:val="18"/>
          <w:szCs w:val="18"/>
        </w:rPr>
      </w:pPr>
    </w:p>
    <w:p>
      <w:pPr>
        <w:adjustRightInd/>
        <w:autoSpaceDE w:val="off"/>
        <w:autoSpaceDN w:val="off"/>
        <w:jc w:val="both"/>
        <w:spacing w:after="120"/>
        <w:rPr>
          <w:lang w:val="es-CL" w:eastAsia="es-ES"/>
          <w:rFonts w:ascii="Arial" w:hAnsi="Arial" w:cs="Arial"/>
          <w:b/>
          <w:bCs/>
          <w:color w:val="004080"/>
          <w:sz w:val="22"/>
          <w:szCs w:val="22"/>
        </w:rPr>
      </w:pPr>
      <w:r>
        <w:rPr>
          <w:lang w:val="es-CL" w:eastAsia="es-ES"/>
          <w:rFonts w:ascii="Arial" w:hAnsi="Arial" w:cs="Arial"/>
          <w:b/>
          <w:bCs/>
          <w:color w:val="004080"/>
          <w:sz w:val="22"/>
          <w:szCs w:val="22"/>
        </w:rPr>
        <w:t>Experiencia Relevante</w:t>
      </w:r>
    </w:p>
    <w:p>
      <w:pPr>
        <w:jc w:val="both"/>
        <w:rPr>
          <w:rFonts w:ascii="Arial" w:hAnsi="Arial" w:cs="Arial"/>
          <w:b/>
          <w:bCs/>
          <w:sz w:val="20"/>
        </w:rPr>
      </w:pPr>
    </w:p>
    <w:p>
      <w:pPr>
        <w:adjustRightInd/>
        <w:ind w:left="360"/>
        <w:autoSpaceDE w:val="off"/>
        <w:autoSpaceDN w:val="off"/>
        <w:jc w:val="both"/>
        <w:numPr>
          <w:ilvl w:val="0"/>
          <w:numId w:val="1"/>
        </w:numPr>
        <w:tabs>
          <w:tab w:val="num" w:pos="360"/>
        </w:tabs>
        <w:rPr>
          <w:rFonts w:ascii="Arial" w:hAnsi="Arial" w:cs="Arial"/>
          <w:b/>
          <w:bCs/>
          <w:sz w:val="20"/>
        </w:rPr>
      </w:pPr>
      <w:r>
        <w:rPr>
          <w:lang w:val="en-US"/>
          <w:rFonts w:ascii="Arial" w:hAnsi="Arial" w:cs="Arial"/>
          <w:b/>
          <w:bCs/>
          <w:sz w:val="20"/>
        </w:rPr>
        <w:t xml:space="preserve">Fluor. PMT Fluor Corporation, China - Ma’aden Saudi Arabian Mining Company - Umm Wu’al Phosphate Project. </w:t>
      </w:r>
      <w:r>
        <w:rPr>
          <w:lang w:val="es-CL"/>
          <w:rFonts w:ascii="Arial" w:hAnsi="Arial" w:cs="Arial"/>
          <w:sz w:val="20"/>
        </w:rPr>
        <w:t>Equipo de Administración de Proyecto en formato EPC, basado en Beijing China en representación de Ma’aden Saudi Arabian Mining Company para la Planta de Beneficio que considera doble sistema de chancadores de manibula, overland conveyor, harneros, HPGR, sistema de apilamiento y recuperación, molinos de barra, sistema de espesamiento y filtrado, bombas de diafragma, flotación, etc.</w:t>
      </w:r>
    </w:p>
    <w:p>
      <w:pPr>
        <w:adjustRightInd/>
        <w:ind w:left="360"/>
        <w:autoSpaceDE w:val="off"/>
        <w:autoSpaceDN w:val="off"/>
        <w:jc w:val="both"/>
        <w:rPr>
          <w:rFonts w:ascii="Arial" w:hAnsi="Arial" w:cs="Arial"/>
          <w:b/>
          <w:bCs/>
          <w:sz w:val="20"/>
        </w:rPr>
      </w:pPr>
    </w:p>
    <w:p>
      <w:pPr>
        <w:adjustRightInd/>
        <w:ind w:left="360"/>
        <w:autoSpaceDE w:val="off"/>
        <w:autoSpaceDN w:val="off"/>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Fluor. Consultant. AngloAmerican – Los Bronces. </w:t>
      </w:r>
      <w:r>
        <w:rPr>
          <w:lang w:val="es-CL"/>
          <w:rFonts w:ascii="Arial" w:hAnsi="Arial" w:cs="Arial"/>
          <w:sz w:val="20"/>
        </w:rPr>
        <w:t>Búsqueda de reducción de CAPEX para estudio de proyecto Subterráneo.</w:t>
      </w:r>
    </w:p>
    <w:p>
      <w:pPr>
        <w:adjustRightInd/>
        <w:autoSpaceDE w:val="off"/>
        <w:autoSpaceDN w:val="off"/>
        <w:jc w:val="both"/>
        <w:rPr>
          <w:lang w:val="es-CL"/>
          <w:rFonts w:ascii="Arial" w:hAnsi="Arial" w:cs="Arial"/>
          <w:b/>
          <w:bCs/>
          <w:sz w:val="20"/>
        </w:rPr>
      </w:pPr>
    </w:p>
    <w:p>
      <w:pPr>
        <w:adjustRightInd/>
        <w:ind w:left="360"/>
        <w:autoSpaceDE w:val="off"/>
        <w:autoSpaceDN w:val="off"/>
        <w:jc w:val="both"/>
        <w:numPr>
          <w:ilvl w:val="0"/>
          <w:numId w:val="1"/>
        </w:numPr>
        <w:tabs>
          <w:tab w:val="num" w:pos="360"/>
        </w:tabs>
        <w:rPr>
          <w:lang w:val="es-CL"/>
          <w:rFonts w:ascii="Arial" w:hAnsi="Arial" w:cs="Arial"/>
          <w:b/>
          <w:bCs/>
          <w:sz w:val="20"/>
        </w:rPr>
      </w:pPr>
      <w:r>
        <w:rPr>
          <w:rFonts w:ascii="Arial" w:hAnsi="Arial" w:cs="Arial"/>
          <w:b/>
          <w:bCs/>
          <w:sz w:val="20"/>
        </w:rPr>
        <w:t>Fluor. Gerente Orden de Servicio. An</w:t>
      </w:r>
      <w:r>
        <w:rPr>
          <w:lang w:val="es-CL"/>
          <w:rFonts w:ascii="Arial" w:hAnsi="Arial" w:cs="Arial"/>
          <w:b/>
          <w:bCs/>
          <w:sz w:val="20"/>
        </w:rPr>
        <w:t xml:space="preserve">gloAmerican – Los Bronces. </w:t>
      </w:r>
      <w:r>
        <w:rPr>
          <w:lang w:val="es-CL"/>
          <w:rFonts w:ascii="Arial" w:hAnsi="Arial" w:cs="Arial"/>
          <w:sz w:val="20"/>
        </w:rPr>
        <w:t xml:space="preserve">Apoyo y asesoría a la Gerencia de Proyectos de Los Bronces administrando los proyectos de la cartera de Operaciones, </w:t>
      </w:r>
      <w:r>
        <w:rPr>
          <w:lang w:val="es-CL" w:eastAsia="en-US"/>
          <w:rFonts w:ascii="Arial" w:hAnsi="Arial" w:cs="Arial"/>
          <w:sz w:val="20"/>
        </w:rPr>
        <w:t>otorgando soporte de contraparte de ingeniería, soporte de terreno, control de proyectos, asesoría de prevención de riesgos, asesoría de calidad, asesoría en Gestión de Contratos y Adquisiciones, asesoría de gestión documental técnica y administrativa, en la Gestión de ingeniería y construcción de proyectos SIB de Los Bronces.</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sz w:val="20"/>
        </w:rPr>
      </w:pPr>
      <w:r>
        <w:rPr>
          <w:lang w:val="es-CL"/>
          <w:rFonts w:ascii="Arial" w:hAnsi="Arial" w:cs="Arial"/>
          <w:b/>
          <w:bCs/>
          <w:sz w:val="20"/>
        </w:rPr>
        <w:t xml:space="preserve">Fluor. Gerente Orden de Servicio. AngloAmerican – Manejo Mecanizado de Lastre Los Bronces. </w:t>
      </w:r>
      <w:r>
        <w:rPr>
          <w:lang w:val="es-CL"/>
          <w:rFonts w:ascii="Arial" w:hAnsi="Arial" w:cs="Arial"/>
          <w:sz w:val="20"/>
        </w:rPr>
        <w:t>Estudio y definición de un sistema para Manejo de Lastre de 7000 tph para mina Los Bronces, incluyendo sistema de chancado primario, sistema de transporte y sistema de distribución.</w:t>
      </w:r>
    </w:p>
    <w:p>
      <w:pPr>
        <w:ind w:left="360"/>
        <w:jc w:val="both"/>
        <w:tabs>
          <w:tab w:val="num" w:pos="360"/>
        </w:tabs>
        <w:rPr>
          <w:lang w:val="es-CL"/>
          <w:rFonts w:ascii="Arial" w:hAnsi="Arial" w:cs="Arial"/>
          <w:b/>
          <w:bCs/>
          <w:sz w:val="20"/>
        </w:rPr>
      </w:pPr>
    </w:p>
    <w:p>
      <w:pPr>
        <w:ind w:left="360"/>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Fluor. Deputy Gerente de Ingeniería y Lider Especialista Material Handling. </w:t>
      </w:r>
      <w:r>
        <w:rPr>
          <w:rFonts w:ascii="Arial" w:hAnsi="Arial" w:cs="Arial"/>
          <w:b/>
          <w:bCs/>
          <w:sz w:val="20"/>
        </w:rPr>
        <w:t xml:space="preserve">Freeport McMoran – El Abra Mill. </w:t>
      </w:r>
      <w:r>
        <w:rPr>
          <w:lang w:val="es-CL"/>
          <w:rFonts w:ascii="Arial" w:hAnsi="Arial" w:cs="Arial"/>
          <w:sz w:val="20"/>
        </w:rPr>
        <w:t>Estudio y definición de una planta concentradora de 240 ktpd, incluyendo sistema de chancado primario, acopio intermedio, 25 km de overland, acopio en planta, chancado secundario, harneros, HPGR, planta concentradora, concentraducho y Puerto.</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Fluor. Gerente del Departamento de Material Handling. </w:t>
      </w:r>
      <w:r>
        <w:rPr>
          <w:lang w:val="es-CL"/>
          <w:rFonts w:ascii="Arial" w:hAnsi="Arial" w:cs="Arial"/>
          <w:sz w:val="20"/>
        </w:rPr>
        <w:t>Liderando el Departamento de Manejo de Materiales en Fluor Chile, prestando soporte y revisión en diversos proyectos.</w:t>
      </w:r>
    </w:p>
    <w:p>
      <w:pPr>
        <w:pStyle w:val="ListParagrap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n-US"/>
          <w:rFonts w:ascii="Arial" w:hAnsi="Arial" w:cs="Arial"/>
          <w:b/>
          <w:bCs/>
          <w:sz w:val="20"/>
        </w:rPr>
        <w:t xml:space="preserve">Fluor. Project Engineer, Crushing &amp; Conveying, Stacking &amp; Reclaiming – AMSA – Antucoya EPCM. </w:t>
      </w:r>
      <w:r>
        <w:rPr>
          <w:lang w:val="es-CL"/>
          <w:rFonts w:ascii="Arial" w:hAnsi="Arial" w:cs="Arial"/>
          <w:bCs/>
          <w:sz w:val="20"/>
        </w:rPr>
        <w:t>P</w:t>
      </w:r>
      <w:r>
        <w:rPr>
          <w:lang w:val="es-CL"/>
          <w:rFonts w:ascii="Arial" w:hAnsi="Arial" w:cs="Arial"/>
          <w:sz w:val="20"/>
        </w:rPr>
        <w:t>lanta para procesar 80 millones de toneladas de óxidos, incluyendo chancado, aglomeración, pila de lixiviación dinámica, acopio de ripios, SX-EW e infraestructura.</w:t>
      </w:r>
    </w:p>
    <w:p>
      <w:pPr>
        <w:jc w:val="both"/>
        <w:rPr>
          <w:lang w:val="es-CL"/>
          <w:rFonts w:ascii="Arial" w:hAnsi="Arial" w:cs="Arial"/>
          <w:sz w:val="20"/>
        </w:rPr>
      </w:pPr>
    </w:p>
    <w:p>
      <w:pPr>
        <w:ind w:left="360"/>
        <w:jc w:val="both"/>
        <w:numPr>
          <w:ilvl w:val="0"/>
          <w:numId w:val="1"/>
        </w:numPr>
        <w:tabs>
          <w:tab w:val="num" w:pos="360"/>
        </w:tabs>
        <w:rPr>
          <w:rFonts w:ascii="Arial" w:hAnsi="Arial" w:cs="Arial"/>
          <w:b/>
          <w:bCs/>
          <w:sz w:val="20"/>
        </w:rPr>
      </w:pPr>
      <w:r>
        <w:rPr>
          <w:lang w:val="en-US"/>
          <w:rFonts w:ascii="Arial" w:hAnsi="Arial" w:cs="Arial"/>
          <w:b/>
          <w:bCs/>
          <w:sz w:val="20"/>
        </w:rPr>
        <w:t xml:space="preserve">Fluor. Project Engineer Crushing &amp; Conveying – AngloAmerican - Quellaveco EPCM. </w:t>
      </w:r>
      <w:r>
        <w:rPr>
          <w:lang w:val="es-CL"/>
          <w:rFonts w:ascii="Arial" w:hAnsi="Arial" w:cs="Arial"/>
          <w:sz w:val="20"/>
        </w:rPr>
        <w:t>Mina de cobre y molibdeno considerando concentradora de 91,2 ktpd,  ubicada al noreste de Moquegua en el sur de Perú. La mina de rajo abierto ubicada a 3,500 metros sobre el nivel del mar en el Valle Quellaveco mientras que la concentradora en el Valle Papujune a una elevación entre 3,450 y 3,650 metros sobre el nivel del mar.</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Bechtel. Material Handling Chief</w:t>
      </w:r>
      <w:r>
        <w:rPr>
          <w:lang w:val="es-CL"/>
          <w:rFonts w:ascii="Arial" w:hAnsi="Arial" w:cs="Arial"/>
          <w:b/>
          <w:sz w:val="20"/>
        </w:rPr>
        <w:t xml:space="preserve"> – Xstrata Tintaya S.A – Antapaccay EPCM. </w:t>
      </w:r>
      <w:r>
        <w:rPr>
          <w:lang w:val="es-CL"/>
          <w:rFonts w:ascii="Arial" w:hAnsi="Arial" w:cs="Arial"/>
          <w:sz w:val="20"/>
        </w:rPr>
        <w:t>Yaciminiento de cobre ubicado en la región de Cusco 9 kilómetros al sudoeste de la mina Tintaya, a unos 4200 metros sobre el nivel del mar. La concentradora para una tasa de producción de aproximadamente 60 ktpd. Compartiendo en una etapa inicial una serie de sinergias con la operación Tintaya.</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Bechtel. Material Handling Chief</w:t>
      </w:r>
      <w:r>
        <w:rPr>
          <w:lang w:val="es-CL"/>
          <w:rFonts w:ascii="Arial" w:hAnsi="Arial" w:cs="Arial"/>
          <w:b/>
          <w:sz w:val="20"/>
        </w:rPr>
        <w:t xml:space="preserve"> – Xstrata Tintaya S.A – Las Bambas EPCM. </w:t>
      </w:r>
      <w:r>
        <w:rPr>
          <w:lang w:val="es-CL"/>
          <w:rFonts w:ascii="Arial" w:hAnsi="Arial" w:cs="Arial"/>
          <w:sz w:val="20"/>
        </w:rPr>
        <w:t>Mina de cobre ubicada a 72 kilómetros de Cusco a más de 4 mil metros sobre el nivel del mar. Contempla la explotación de tres yacimientos durante la vida de la mina: Ferrobamba, Chalcobamba y Sulfobamba. Inicia con la etapa de explotación con Ferrobamba; luego, en función del plan de producción, Chalcobamba y Sulfobamba entran en operación simultáneamente. La capacidad de procesamiento de la concentradora es de 140 mil toneladas de mineral por día. El concentrado obtenido se envía a la planta de filtros a través de una tubería de concentrado desde Las Bambas a Tintaya-Antapaccay.</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sz w:val="20"/>
        </w:rPr>
      </w:pPr>
      <w:r>
        <w:rPr>
          <w:lang w:val="es-CL"/>
          <w:rFonts w:ascii="Arial" w:hAnsi="Arial" w:cs="Arial"/>
          <w:b/>
          <w:bCs/>
          <w:sz w:val="20"/>
        </w:rPr>
        <w:t xml:space="preserve">Bechtel. Material Handling Chief – Xstrata Tintaya S.A – El Pachón. </w:t>
      </w:r>
      <w:r>
        <w:rPr>
          <w:lang w:val="es-CL"/>
          <w:rFonts w:ascii="Arial" w:hAnsi="Arial" w:cs="Arial"/>
          <w:sz w:val="20"/>
        </w:rPr>
        <w:t>Yacimiento de Cobre Molibdeno ubicado a 350 km de San Juan, Argentina. Se emplaza sobre los 3.600 m.s.n.m. a unos 5 kilómetros de la frontera con Chile. Se trata de una mina a cielo abierto para extraer mineral de cobre y procesarlo mediante flotación. La tasa de procesamiento es de 160 ktpd.</w:t>
      </w:r>
    </w:p>
    <w:p>
      <w:pPr>
        <w:jc w:val="both"/>
        <w:rPr>
          <w:lang w:val="es-CL"/>
          <w:rFonts w:ascii="Arial" w:hAnsi="Arial" w:cs="Arial"/>
          <w:sz w:val="20"/>
        </w:rPr>
      </w:pPr>
    </w:p>
    <w:p>
      <w:pPr>
        <w:ind w:left="360"/>
        <w:jc w:val="both"/>
        <w:numPr>
          <w:ilvl w:val="0"/>
          <w:numId w:val="1"/>
        </w:numPr>
        <w:tabs>
          <w:tab w:val="num" w:pos="360"/>
        </w:tabs>
        <w:rPr>
          <w:lang w:val="es-CL"/>
          <w:rFonts w:ascii="Arial" w:hAnsi="Arial" w:cs="Arial"/>
          <w:b/>
          <w:bCs/>
          <w:sz w:val="20"/>
        </w:rPr>
      </w:pPr>
      <w:r>
        <w:rPr>
          <w:lang w:val="en-US"/>
          <w:rFonts w:ascii="Arial" w:hAnsi="Arial" w:cs="Arial"/>
          <w:b/>
          <w:bCs/>
          <w:sz w:val="20"/>
        </w:rPr>
        <w:t>Bechtel. Material Handling Chief</w:t>
      </w:r>
      <w:r>
        <w:rPr>
          <w:lang w:val="en-US"/>
          <w:rFonts w:ascii="Arial" w:hAnsi="Arial" w:cs="Arial"/>
          <w:b/>
          <w:sz w:val="20"/>
        </w:rPr>
        <w:t xml:space="preserve"> – BHP Billiton – OGP1 EPCM. </w:t>
      </w:r>
      <w:r>
        <w:rPr>
          <w:lang w:val="es-CL"/>
          <w:rFonts w:ascii="Arial" w:hAnsi="Arial" w:cs="Arial"/>
          <w:sz w:val="20"/>
        </w:rPr>
        <w:t>El primer proyecto de crecimiento Orgánico considera acceder y explotar a un sector de mayor ley de cobre en el rajo principal. Para esto se prevé trasladar los chancadores que operan en el rajo desde su posición actual en la que se encuentran las mayores leyes. También incluye la construcción de una nueva planta concentradora, y la demolición de la planta concentradora Los Colorados.</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n-US"/>
          <w:rFonts w:ascii="Arial" w:hAnsi="Arial" w:cs="Arial"/>
          <w:b/>
          <w:bCs/>
          <w:sz w:val="20"/>
        </w:rPr>
        <w:t>Bechtel. Material Handling Chief</w:t>
      </w:r>
      <w:r>
        <w:rPr>
          <w:lang w:val="en-US"/>
          <w:rFonts w:ascii="Arial" w:hAnsi="Arial" w:cs="Arial"/>
          <w:b/>
          <w:sz w:val="20"/>
        </w:rPr>
        <w:t xml:space="preserve"> – BHP Billiton – Escondida Norte Facilities Management (ENFM). </w:t>
      </w:r>
      <w:r>
        <w:rPr>
          <w:lang w:val="es-CL"/>
          <w:rFonts w:ascii="Arial" w:hAnsi="Arial" w:cs="Arial"/>
          <w:sz w:val="20"/>
        </w:rPr>
        <w:t>En el marco de los proyectos de crecimiento orgánico de BHPB, surge la necesidad de este estudio de selección que evalúa dentro de otros, una serie de opciones para la ubicación del edificio de chancado primario incluyendo las modificaciones necesarias en la Overland que transporta el mineral desde Escondida Norte.</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sz w:val="20"/>
        </w:rPr>
      </w:pPr>
      <w:r>
        <w:rPr>
          <w:lang w:val="en-US"/>
          <w:rFonts w:ascii="Arial" w:hAnsi="Arial" w:cs="Arial"/>
          <w:b/>
          <w:bCs/>
          <w:sz w:val="20"/>
        </w:rPr>
        <w:t>Bechtel. Material Handling Chief</w:t>
      </w:r>
      <w:r>
        <w:rPr>
          <w:lang w:val="en-US"/>
          <w:rFonts w:ascii="Arial" w:hAnsi="Arial" w:cs="Arial"/>
          <w:b/>
          <w:sz w:val="20"/>
        </w:rPr>
        <w:t xml:space="preserve"> – BHP Billiton – OLAP. </w:t>
      </w:r>
      <w:r>
        <w:rPr>
          <w:lang w:val="es-CL"/>
          <w:rFonts w:ascii="Arial" w:hAnsi="Arial" w:cs="Arial"/>
          <w:sz w:val="20"/>
        </w:rPr>
        <w:t>El proyecto tiene como objetivo la construcción de una nueva pila dinámica de lixiviación de oxidos, denominada Pad3, con una capacidad para 120 millones de toneladas de óxidos, contempla todo el sistema de transporte desde el Pad2, sistema de apilamiento tipo puente móvil y recuperación con rotopala, con el posterior apilamiento de ripios a través de equipos grasshopper.</w:t>
      </w:r>
    </w:p>
    <w:p>
      <w:pPr>
        <w:ind w:left="360"/>
        <w:jc w:val="both"/>
        <w:tabs>
          <w:tab w:val="num" w:pos="360"/>
        </w:tabs>
        <w:rPr>
          <w:lang w:val="es-CL"/>
          <w:rFonts w:ascii="Arial" w:hAnsi="Arial" w:cs="Arial"/>
          <w:b/>
          <w:bCs/>
          <w:sz w:val="20"/>
        </w:rPr>
      </w:pP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Hatch. Especialista Lider en Manejo de Materiales, Jefe Disciplina</w:t>
      </w:r>
      <w:r>
        <w:rPr>
          <w:lang w:val="es-CL"/>
          <w:rFonts w:ascii="Arial" w:hAnsi="Arial" w:cs="Arial"/>
          <w:b/>
          <w:sz w:val="20"/>
        </w:rPr>
        <w:t xml:space="preserve"> – Codelco – Proyecto Mina Chuquicamata Subterránea. </w:t>
      </w:r>
      <w:r>
        <w:rPr>
          <w:rFonts w:ascii="Arial" w:hAnsi="Arial" w:cs="Arial"/>
          <w:sz w:val="20"/>
        </w:rPr>
        <w:t>El estudio de Factibilidad Proyecto Mina Chuquicamata Subterránea PMCHS”, tiene como objetivo principal, encontrar la mejor alternativa técnico económica de explotación de la Mina subterránea, de forma de sostener una producción de 140 ktpd. Se incluye la conminución de mineral en etapa primaria, traspaso, transporte y almacenamiento. Túneles de transporte de mineral, correas, overland, accesos, piques, ventilación, talleres, oficinas y servicios en general entre otros.</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Hatch. Especialista Lider en Manejo de Materiales, Jefe Disciplina</w:t>
      </w:r>
      <w:r>
        <w:rPr>
          <w:lang w:val="es-CL"/>
          <w:rFonts w:ascii="Arial" w:hAnsi="Arial" w:cs="Arial"/>
          <w:b/>
          <w:sz w:val="20"/>
        </w:rPr>
        <w:t xml:space="preserve"> – Codelco – Proyecto Botadero de Ripios Radomiro Tomic, Lixiviación Secundaria Fase VII, Transición. </w:t>
      </w:r>
      <w:r>
        <w:rPr>
          <w:lang w:val="es-CL"/>
          <w:rFonts w:ascii="Arial" w:hAnsi="Arial" w:cs="Arial"/>
          <w:sz w:val="20"/>
        </w:rPr>
        <w:t>La operación unitaria de depositación de ripios de Radomiro Tomic, considera la implementación de un botadero definitivo, denominado fase VII y siguientes, para lo cual se proyecta la reubicación de la correa reutilizando algunos componentes principales, considera también la reutilización del Tripper y el Spreader los que operan en conjunto.</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Hatch. Lider de Disciplina</w:t>
      </w:r>
      <w:r>
        <w:rPr>
          <w:lang w:val="es-CL"/>
          <w:rFonts w:ascii="Arial" w:hAnsi="Arial" w:cs="Arial"/>
          <w:b/>
          <w:sz w:val="20"/>
        </w:rPr>
        <w:t xml:space="preserve"> Mecánica Piping – Codelco – Prefactibilidad Mina Sur Sur Subterránea. </w:t>
      </w:r>
      <w:r>
        <w:rPr>
          <w:lang w:val="es-CL"/>
          <w:rFonts w:ascii="Arial" w:hAnsi="Arial" w:cs="Arial"/>
          <w:sz w:val="20"/>
        </w:rPr>
        <w:t>División Andina contempla, para el cuerpo profundo del Rajo Sur Sur, una explotación masiva subterránea, Sur Sur Subterráneo, contemplando la alimentación de la planta expandida a 94 ktpd y a un escenario a largo de plazo expandiendo a 244 ktpd. Se incluye la conminución de material ROM en las etapas primaria, secundaria, traspaso transporte y almacenamiento temporal. Túneles de transporte de mineral, correas, accesos, piques, ventilación, talleres, oficinas y servicios en general.</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Hatch. Lider de Disciplina Mecánica Piping – Ecometales Limited Filial Codelco Chile – Ingeniería Básica Planta de Abatimiento de Arsénico y Antimonio desde Polvos de Fundición y  Efluente de Refinerías”. </w:t>
      </w:r>
      <w:r>
        <w:rPr>
          <w:lang w:val="es-CL"/>
          <w:rFonts w:ascii="Arial" w:hAnsi="Arial" w:cs="Arial"/>
          <w:sz w:val="20"/>
        </w:rPr>
        <w:t>El proyecto considera el tratamiento de polvos de fundición y efluentes de refinería recuperando el 85% de cobre y obtener un residuo arsenical estable apto para acopio en botadero autorizado. Los equipos mayores considerados son: Reactores, espesadores, agitadores, filtros prensa, sistemas de bombeo, sistema de generación de vapor y servicios en general.</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Hatch. Especialista Lider en Manejo de Materiales – BHP Billiton – Selección y Definición Proyecto Reubicación Correas E4E5, Minera Escondida. </w:t>
      </w:r>
      <w:r>
        <w:rPr>
          <w:lang w:val="es-CL"/>
          <w:rFonts w:ascii="Arial" w:hAnsi="Arial" w:cs="Arial"/>
          <w:sz w:val="20"/>
        </w:rPr>
        <w:t>El proyecto ubicado en la segunda región de Antofagasta Chile, consiste principalmente en revisar, verificar, validar, trasladar, extender e incorporar correas Overland de 8800 TMPH y 7000 TMPH, ubicadas en el rajo de la mina, con el objeto de dejar los espacios suficientes para explotación del mineral, de acuerdo al crecimiento del Pit de la mina indicado por BHP BILLITON. Estas correas son las encargadas de transportar el mineral desde el rajo hacia las instalaciones de los Colorados y Laguna Seca.</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Hatch. Lider de Disciplina Mecánica Piping – Codelco – Proyecto Biolixiviación de Arenas de Relaves Frescos en SBL. </w:t>
      </w:r>
      <w:r>
        <w:rPr>
          <w:lang w:val="es-CL"/>
          <w:rFonts w:ascii="Arial" w:hAnsi="Arial" w:cs="Arial"/>
          <w:sz w:val="20"/>
        </w:rPr>
        <w:t>El proyecto ubicado en Chuquicamata, segunda región de Chile, considera las instalaciones necesarias para procesar arenas de relaves frescos provenientes de la flotación de los minerales de Chuquicamata (del orden de 110 kt/día aprox.). El proyecto incluye el análisis de alternativas, las variaciones surgidas del estudio en cuanto al manejo de las alimentaciones y de los productos, su evaluación y las recomendaciones para continuar la Ingeniería.</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sz w:val="20"/>
        </w:rPr>
      </w:pPr>
      <w:r>
        <w:rPr>
          <w:lang w:val="es-CL"/>
          <w:rFonts w:ascii="Arial" w:hAnsi="Arial" w:cs="Arial"/>
          <w:b/>
          <w:bCs/>
          <w:sz w:val="20"/>
        </w:rPr>
        <w:t xml:space="preserve">Hatch. Ingeniero Mecánico Senior Especialista Manejo de Materiales – Minas Argentinas S.A. – Ingeniería de Detalle Proyecto Gualcamayo. </w:t>
      </w:r>
      <w:r>
        <w:rPr>
          <w:lang w:val="es-CL"/>
          <w:rFonts w:ascii="Arial" w:hAnsi="Arial" w:cs="Arial"/>
          <w:sz w:val="20"/>
        </w:rPr>
        <w:t>La planta proyectada para producir más de 200.000 onzas de oro consta básicamente de una etapa de chancado primario subterráneo, secundario y terciario con etapas de clasificación, transporte de materiales a una tasa de 1.250 tmph a través de “overland conveyors” e “in plant conveyors”, y “stacking system”, entre otros.</w:t>
      </w:r>
    </w:p>
    <w:p>
      <w:pPr>
        <w:ind w:left="360"/>
        <w:jc w:val="both"/>
        <w:tabs>
          <w:tab w:val="num" w:pos="360"/>
        </w:tabs>
        <w:rPr>
          <w:lang w:val="es-CL"/>
          <w:rFonts w:ascii="Arial" w:hAnsi="Arial" w:cs="Arial"/>
          <w:b/>
          <w:bCs/>
          <w:sz w:val="20"/>
        </w:rPr>
      </w:pPr>
    </w:p>
    <w:p>
      <w:pPr>
        <w:ind w:left="360"/>
        <w:jc w:val="both"/>
        <w:tabs>
          <w:tab w:val="num" w:pos="360"/>
        </w:tabs>
        <w:rPr>
          <w:lang w:val="es-CL"/>
          <w:rFonts w:ascii="Arial" w:hAnsi="Arial" w:cs="Arial"/>
          <w:b/>
          <w:bCs/>
          <w:sz w:val="20"/>
        </w:rPr>
      </w:pPr>
    </w:p>
    <w:p>
      <w:pPr>
        <w:ind w:left="360"/>
        <w:jc w:val="both"/>
        <w:tabs>
          <w:tab w:val="num" w:pos="360"/>
        </w:tabs>
        <w:rPr>
          <w:lang w:val="es-CL"/>
          <w:rFonts w:ascii="Arial" w:hAnsi="Arial" w:cs="Arial"/>
          <w:b/>
          <w:bCs/>
          <w:sz w:val="20"/>
        </w:rPr>
      </w:pPr>
    </w:p>
    <w:p>
      <w:pPr>
        <w:ind w:left="360"/>
        <w:jc w:val="both"/>
        <w:tabs>
          <w:tab w:val="num" w:pos="360"/>
        </w:tabs>
        <w:rPr>
          <w:lang w:val="es-CL"/>
          <w:rFonts w:ascii="Arial" w:hAnsi="Arial" w:cs="Arial"/>
          <w:b/>
          <w:bCs/>
          <w:sz w:val="20"/>
        </w:rPr>
      </w:pPr>
    </w:p>
    <w:p>
      <w:pPr>
        <w:ind w:left="360"/>
        <w:jc w:val="both"/>
        <w:tabs>
          <w:tab w:val="num" w:pos="360"/>
        </w:tabs>
        <w:rPr>
          <w:lang w:val="es-CL"/>
          <w:rFonts w:ascii="Arial" w:hAnsi="Arial" w:cs="Arial"/>
          <w:b/>
          <w:bCs/>
          <w:sz w:val="20"/>
        </w:rPr>
      </w:pP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AraWorleyParsons. Ingeniero Mecánico – Empresas Melón S.A. – Ingeniería de Detalle Planta de Molienda Puerto Montt. </w:t>
      </w:r>
      <w:r>
        <w:rPr>
          <w:lang w:val="es-CL"/>
          <w:rFonts w:ascii="Arial" w:hAnsi="Arial" w:cs="Arial"/>
          <w:sz w:val="20"/>
        </w:rPr>
        <w:t>La planta de molienda, diseñada para producir cemento a una tasa de 300 tmpd, consta básicamente de un molino de bolas, el que constituye el centro productor de cemento, alimentándose de materias primas traídas en camión desde el terminal de Calbuco (Clinker) y desde la zona central (Yeso y puzolana); tales materias primas se reciben y almacenan en el mismo sector de la planta, desde donde se las manipula mecánicamente para alimentar el proceso. El producto final de dos calidades se almacena en dos silos y desde ahí se transporta a la planta de envasado o se despacha a granel en camiones tipo silo.</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AraWorleyParsons. Lider Mecánico Especialista en Manejo de Materiales – Compañía Minera del Pacífico – Proyecto Ingeniería Conceptual, Básica, Detalles y Complementaria Puerto Punta Totoralillo. </w:t>
      </w:r>
      <w:r>
        <w:rPr>
          <w:lang w:val="es-CL"/>
          <w:rFonts w:ascii="Arial" w:hAnsi="Arial" w:cs="Arial"/>
          <w:sz w:val="20"/>
        </w:rPr>
        <w:t>Puerto diseñado para la exportación de mineral de hierro a una tasa de 5.500 tmph. Producción de Pellet Feed en la planta de filtrado de transporte del mineral por medio de un arreglo de transportadoras de cinta, acopio de Pellet Feed por medio de apilador viajero (Travelling stacker), recuperación por medio de conjuntos tolva-alimentador y embarque por medio de cargador de barcos radial (Radial shiploader). Configuración general de layout, memorias de cálculo y diseño completo de transportadores de cinta, chutes, tensores, cabezales, faldones, documentos, requisiciones y especificaciones técnicas asociadas, entre otras.</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AraWorleyParsons. Lider Mecánico Manejo de Materiales – Puerto Las Losas S.A. – Proyecto Ingeniería Conceptual, Básica y Detalle Puerto Las Losas. </w:t>
      </w:r>
      <w:r>
        <w:rPr>
          <w:lang w:val="es-CL"/>
          <w:rFonts w:ascii="Arial" w:hAnsi="Arial" w:cs="Arial"/>
          <w:sz w:val="20"/>
        </w:rPr>
        <w:t>Puerto Multipropósito dedicado mayormente a la importación de graneles a una tasa de 1650 tmph. Descarga por medio de grúas de barco y grúa level luffing, transporte de materiales por medio de transportadoras de cinta, transportadores de cadena, elevadores de capachos, almacenamiento en silos y bodega mecanizada por medio de tripper car. Memorias de cálculo y diseño de transportadores de cinta, layout general, documentos, requisiciones y especificaciones técnicas asociadas, entre otras.</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AraWorleyParsons. Ingeniero Mecánico Manejo de Materiales – Enap Refinerías Aconcagua – Proyecto Almacenamiento de Carbón Industrial. </w:t>
      </w:r>
      <w:r>
        <w:rPr>
          <w:lang w:val="es-CL"/>
          <w:rFonts w:ascii="Arial" w:hAnsi="Arial" w:cs="Arial"/>
          <w:sz w:val="20"/>
        </w:rPr>
        <w:t>Proyecto de almacenamiento de carbón industrial. Para el diseño de las instalaciones se proyecta para manejar una capacidad anual de 400.000 toneladas métricas; para el acopio del carbón industrial se considerará el uso de un staker móvil o apilador autopropulsado de una capacidad 600 tmph. Configuración general de layout, estimación del presupuesto, participación en el informe final.</w:t>
      </w:r>
      <w:r>
        <w:rPr>
          <w:lang w:val="es-CL"/>
          <w:rFonts w:ascii="Arial" w:hAnsi="Arial" w:cs="Arial"/>
          <w:b/>
          <w:bCs/>
          <w:sz w:val="20"/>
        </w:rPr>
        <w:t xml:space="preserve"> </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sz w:val="20"/>
        </w:rPr>
      </w:pPr>
      <w:r>
        <w:rPr>
          <w:lang w:val="es-CL"/>
          <w:rFonts w:ascii="Arial" w:hAnsi="Arial" w:cs="Arial"/>
          <w:b/>
          <w:bCs/>
          <w:sz w:val="20"/>
        </w:rPr>
        <w:t xml:space="preserve">AraWorleyParsons. Ingeniero Mecánico Manejo de Materiales – Puerto Guinea – Proyecto Puerto Exportación de Bauxita. </w:t>
      </w:r>
      <w:r>
        <w:rPr>
          <w:lang w:val="es-CL"/>
          <w:rFonts w:ascii="Arial" w:hAnsi="Arial" w:cs="Arial"/>
          <w:sz w:val="20"/>
        </w:rPr>
        <w:t>Puerto diseñado para la exportación de bauxita a una tasa de 4.500 tmph. Acercamiento de bauxita a planta de filtrado, transporte del mineral por medio de un arreglo de transportadoras de cinta, acopio en bodega mecanizada por medio de tripper car, recuperación por medio de equipo bucket wheel reclaimer y embarque a través de cargador de barcos tipo viajero. Configuración general de layout, estimación del presupuesto, participación en el informe final.</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AraWorleyParsons. Ingeniero Mecánico – SQM – Proyecto Nueva Planta de Prilado y Granulado Coya Sur. </w:t>
      </w:r>
      <w:r>
        <w:rPr>
          <w:lang w:val="es-CL"/>
          <w:rFonts w:ascii="Arial" w:hAnsi="Arial" w:cs="Arial"/>
          <w:sz w:val="20"/>
        </w:rPr>
        <w:t>Minería no Metálica 1.300 tpd de Nitrato de Sodio, Nitrato de Potasio. Ingeniero Coordinador en las áreas de granulado, prilado, clasificación, enfriamiento, almacenamiento, envasado y despacho. Configuración general de layout, coordinación de equipos, documentos, requisiciones y especificaciones técnicas asociadas, entre otras.</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sz w:val="20"/>
        </w:rPr>
      </w:pPr>
      <w:r>
        <w:rPr>
          <w:lang w:val="es-CL"/>
          <w:rFonts w:ascii="Arial" w:hAnsi="Arial" w:cs="Arial"/>
          <w:b/>
          <w:bCs/>
          <w:sz w:val="20"/>
        </w:rPr>
        <w:t xml:space="preserve">AraWorleyParsons (BARA). Ingeniero Mecánico – Codelco – Proyecto Ingeniería de Detalle PTMP. </w:t>
      </w:r>
      <w:r>
        <w:rPr>
          <w:lang w:val="es-CL"/>
          <w:rFonts w:ascii="Arial" w:hAnsi="Arial" w:cs="Arial"/>
          <w:sz w:val="20"/>
        </w:rPr>
        <w:t>Proyecto Expansión Norte Mina Sur en la planta de tratamiento de minerales en las pilas de Codelco Norte. Proyecto diseñado por Bechtel-ARA para aumentar la producción de 80.000 a 120.000  tpa. Participación en el desarrollo de la ingeniería de detalles de la planta.</w:t>
      </w:r>
    </w:p>
    <w:p>
      <w:pPr>
        <w:ind w:left="360"/>
        <w:jc w:val="both"/>
        <w:tabs>
          <w:tab w:val="num" w:pos="360"/>
        </w:tabs>
        <w:rPr>
          <w:lang w:val="es-CL"/>
          <w:rFonts w:ascii="Arial" w:hAnsi="Arial" w:cs="Arial"/>
          <w:b/>
          <w:bCs/>
          <w:sz w:val="20"/>
        </w:rPr>
      </w:pPr>
      <w:r>
        <w:rPr>
          <w:lang w:val="es-CL"/>
          <w:rFonts w:ascii="Arial" w:hAnsi="Arial" w:cs="Arial"/>
          <w:b/>
          <w:bCs/>
          <w:sz w:val="20"/>
        </w:rPr>
        <w:t xml:space="preserve"> </w:t>
      </w:r>
    </w:p>
    <w:p>
      <w:pPr>
        <w:jc w:val="both"/>
        <w:rPr>
          <w:lang w:val="es-CL"/>
          <w:rFonts w:ascii="Arial" w:hAnsi="Arial" w:cs="Arial"/>
          <w:b/>
          <w:bCs/>
          <w:sz w:val="20"/>
        </w:rPr>
      </w:pPr>
    </w:p>
    <w:p>
      <w:pPr>
        <w:ind w:left="360"/>
        <w:jc w:val="both"/>
        <w:numPr>
          <w:ilvl w:val="0"/>
          <w:numId w:val="1"/>
        </w:numPr>
        <w:tabs>
          <w:tab w:val="num" w:pos="360"/>
        </w:tabs>
        <w:rPr>
          <w:lang w:val="es-CL"/>
          <w:rFonts w:ascii="Arial" w:hAnsi="Arial" w:cs="Arial"/>
          <w:b/>
          <w:bCs/>
          <w:sz w:val="20"/>
        </w:rPr>
      </w:pPr>
      <w:r>
        <w:rPr>
          <w:lang w:val="es-CL"/>
          <w:rFonts w:ascii="Arial" w:hAnsi="Arial" w:cs="Arial"/>
          <w:b/>
          <w:bCs/>
          <w:sz w:val="20"/>
        </w:rPr>
        <w:t xml:space="preserve">Terral Servicios de Ingeniería. Ingeniero Mecánico – Cemin S.A. – Proyecto Planta Dos Amigos. </w:t>
      </w:r>
      <w:r>
        <w:rPr>
          <w:lang w:val="es-CL"/>
          <w:rFonts w:ascii="Arial" w:hAnsi="Arial" w:cs="Arial"/>
          <w:sz w:val="20"/>
        </w:rPr>
        <w:t>Planta hidrometalúrgica de producción de cobre mediante los procesos de lixiviación, extracción por solventes y electroobtención. Producción 10.000 tpa de cobre electrolítico. Diseño de planos de disposición y de cañerías para las diferentes áreas: Pilas de lixiviación, extracción por solventes, tank farm, electrowining, montaje de celdas, asistencia en montaje y puesta en marcha (Terreno), cubicaciones de cañerías, planos “As built”.</w:t>
      </w:r>
    </w:p>
    <w:p>
      <w:pPr>
        <w:ind w:left="360"/>
        <w:jc w:val="both"/>
        <w:numPr>
          <w:ilvl w:val="0"/>
          <w:numId w:val="1"/>
        </w:numPr>
        <w:tabs>
          <w:tab w:val="num" w:pos="360"/>
        </w:tabs>
        <w:rPr>
          <w:rFonts w:ascii="Arial" w:hAnsi="Arial" w:cs="Arial"/>
          <w:bCs/>
          <w:i/>
          <w:sz w:val="20"/>
        </w:rPr>
      </w:pPr>
      <w:r>
        <w:rPr>
          <w:lang w:val="es-CL"/>
          <w:rFonts w:ascii="Arial" w:hAnsi="Arial" w:cs="Arial"/>
          <w:b/>
          <w:bCs/>
          <w:sz w:val="20"/>
        </w:rPr>
        <w:t xml:space="preserve">Terral Servicios de Ingeniería. Ingeniero Mecánico – </w:t>
      </w:r>
      <w:r>
        <w:rPr>
          <w:rFonts w:ascii="Arial" w:hAnsi="Arial" w:cs="Arial"/>
          <w:b/>
          <w:bCs/>
          <w:sz w:val="20"/>
        </w:rPr>
        <w:t xml:space="preserve">Minera Escondida Ltda. </w:t>
      </w:r>
      <w:r>
        <w:rPr>
          <w:lang w:val="es-CL"/>
          <w:rFonts w:ascii="Arial" w:hAnsi="Arial" w:cs="Arial"/>
          <w:b/>
          <w:bCs/>
          <w:sz w:val="20"/>
        </w:rPr>
        <w:t xml:space="preserve">– </w:t>
      </w:r>
      <w:r>
        <w:rPr>
          <w:rFonts w:ascii="Arial" w:hAnsi="Arial" w:cs="Arial"/>
          <w:b/>
          <w:bCs/>
          <w:sz w:val="20"/>
        </w:rPr>
        <w:t xml:space="preserve">Proyecto Planta Piloto de Lixiviación de Súlfuros. </w:t>
      </w:r>
      <w:r>
        <w:rPr>
          <w:lang w:val="es-CL"/>
          <w:rFonts w:ascii="Arial" w:hAnsi="Arial" w:cs="Arial"/>
          <w:sz w:val="20"/>
        </w:rPr>
        <w:t>Diseño de planos mecánicos y de cañerías del área de gaviones, lixiviación, extracción por solventes, electrowining, diseño de celda electrolítica experimental, disposición de equipos, sala eléctrica y diseño de barras de corriente contínua.</w:t>
      </w:r>
    </w:p>
    <w:p>
      <w:pPr>
        <w:jc w:val="both"/>
        <w:rPr>
          <w:rFonts w:ascii="Arial" w:hAnsi="Arial" w:cs="Arial"/>
          <w:bCs/>
          <w:i/>
          <w:sz w:val="20"/>
        </w:rPr>
      </w:pPr>
    </w:p>
    <w:p>
      <w:pPr>
        <w:ind w:left="360"/>
        <w:jc w:val="both"/>
        <w:numPr>
          <w:ilvl w:val="0"/>
          <w:numId w:val="1"/>
        </w:numPr>
        <w:tabs>
          <w:tab w:val="num" w:pos="360"/>
        </w:tabs>
        <w:rPr>
          <w:rFonts w:ascii="Arial" w:hAnsi="Arial" w:cs="Arial"/>
          <w:bCs/>
          <w:i/>
          <w:sz w:val="20"/>
        </w:rPr>
      </w:pPr>
      <w:r>
        <w:rPr>
          <w:lang w:val="es-CL"/>
          <w:rFonts w:ascii="Arial" w:hAnsi="Arial" w:cs="Arial"/>
          <w:b/>
          <w:bCs/>
          <w:sz w:val="20"/>
        </w:rPr>
        <w:t xml:space="preserve">Terral Servicios de Ingeniería. Ingeniero Mecánico – </w:t>
      </w:r>
      <w:r>
        <w:rPr>
          <w:rFonts w:ascii="Arial" w:hAnsi="Arial" w:cs="Arial"/>
          <w:b/>
          <w:bCs/>
          <w:sz w:val="20"/>
        </w:rPr>
        <w:t xml:space="preserve">Compañía Minera Panulcillo </w:t>
      </w:r>
      <w:r>
        <w:rPr>
          <w:lang w:val="es-CL"/>
          <w:rFonts w:ascii="Arial" w:hAnsi="Arial" w:cs="Arial"/>
          <w:b/>
          <w:bCs/>
          <w:sz w:val="20"/>
        </w:rPr>
        <w:t xml:space="preserve">– </w:t>
      </w:r>
      <w:r>
        <w:rPr>
          <w:rFonts w:ascii="Arial" w:hAnsi="Arial" w:cs="Arial"/>
          <w:b/>
          <w:bCs/>
          <w:sz w:val="20"/>
        </w:rPr>
        <w:t xml:space="preserve">Proyecto Planta LX Pila Dinámica de Lixiviación.  </w:t>
      </w:r>
      <w:r>
        <w:rPr>
          <w:lang w:val="es-CL"/>
          <w:rFonts w:ascii="Arial" w:hAnsi="Arial" w:cs="Arial"/>
          <w:sz w:val="20"/>
        </w:rPr>
        <w:t>Participación en el desarrollo de la ingeniería de detalles, disposiciones generales, asistencia en terreno montaje de cañerías (Piping).</w:t>
      </w:r>
    </w:p>
    <w:p>
      <w:pPr>
        <w:jc w:val="both"/>
        <w:rPr>
          <w:rFonts w:ascii="Arial" w:hAnsi="Arial" w:cs="Arial"/>
          <w:bCs/>
          <w:i/>
          <w:sz w:val="20"/>
        </w:rPr>
      </w:pPr>
    </w:p>
    <w:p>
      <w:pPr>
        <w:ind w:left="360"/>
        <w:jc w:val="both"/>
        <w:numPr>
          <w:ilvl w:val="0"/>
          <w:numId w:val="1"/>
        </w:numPr>
        <w:tabs>
          <w:tab w:val="num" w:pos="360"/>
        </w:tabs>
        <w:rPr>
          <w:rFonts w:ascii="Arial" w:hAnsi="Arial" w:cs="Arial"/>
          <w:bCs/>
          <w:i/>
          <w:sz w:val="20"/>
        </w:rPr>
      </w:pPr>
      <w:r>
        <w:rPr>
          <w:rFonts w:ascii="Arial" w:hAnsi="Arial" w:cs="Arial"/>
          <w:b/>
          <w:bCs/>
          <w:sz w:val="20"/>
        </w:rPr>
        <w:t xml:space="preserve">Sigdo Koppers. Ingeniero Trainee </w:t>
      </w:r>
      <w:r>
        <w:rPr>
          <w:lang w:val="es-CL"/>
          <w:rFonts w:ascii="Arial" w:hAnsi="Arial" w:cs="Arial"/>
          <w:b/>
          <w:bCs/>
          <w:sz w:val="20"/>
        </w:rPr>
        <w:t>–</w:t>
      </w:r>
      <w:r>
        <w:rPr>
          <w:rFonts w:ascii="Arial" w:hAnsi="Arial" w:cs="Arial"/>
          <w:b/>
          <w:bCs/>
          <w:sz w:val="20"/>
        </w:rPr>
        <w:t xml:space="preserve"> Enami Ventanas </w:t>
      </w:r>
      <w:r>
        <w:rPr>
          <w:lang w:val="es-CL"/>
          <w:rFonts w:ascii="Arial" w:hAnsi="Arial" w:cs="Arial"/>
          <w:b/>
          <w:bCs/>
          <w:sz w:val="20"/>
        </w:rPr>
        <w:t>–</w:t>
      </w:r>
      <w:r>
        <w:rPr>
          <w:rFonts w:ascii="Arial" w:hAnsi="Arial" w:cs="Arial"/>
          <w:b/>
          <w:bCs/>
          <w:sz w:val="20"/>
        </w:rPr>
        <w:t xml:space="preserve"> Ampliación Nave Electrolítica, Ventanas. </w:t>
      </w:r>
      <w:r>
        <w:rPr>
          <w:lang w:val="es-CL"/>
          <w:rFonts w:ascii="Arial" w:hAnsi="Arial" w:cs="Arial"/>
          <w:sz w:val="20"/>
        </w:rPr>
        <w:t>Extracción y demoliciones, montaje estructural, montaje de celdas, asistencia en montaje y puesta en marcha (terreno), cubicaciones piping, planos as built.</w:t>
      </w:r>
    </w:p>
    <w:p>
      <w:pPr>
        <w:jc w:val="both"/>
        <w:rPr>
          <w:rFonts w:ascii="Arial" w:hAnsi="Arial" w:cs="Arial"/>
          <w:b/>
          <w:bCs/>
          <w:sz w:val="20"/>
        </w:rPr>
      </w:pPr>
    </w:p>
    <w:p>
      <w:pPr>
        <w:jc w:val="both"/>
        <w:rPr>
          <w:lang w:val="es-CL"/>
          <w:rFonts w:ascii="Arial" w:hAnsi="Arial" w:cs="Arial"/>
          <w:b/>
          <w:bCs/>
          <w:sz w:val="20"/>
        </w:rPr>
      </w:pPr>
    </w:p>
    <w:p>
      <w:pPr>
        <w:adjustRightInd/>
        <w:autoSpaceDE w:val="off"/>
        <w:autoSpaceDN w:val="off"/>
        <w:jc w:val="both"/>
        <w:rPr>
          <w:lang w:val="es-CL" w:eastAsia="es-ES"/>
          <w:rFonts w:ascii="Arial" w:hAnsi="Arial" w:cs="Arial"/>
          <w:b/>
          <w:bCs/>
          <w:color w:val="004080"/>
          <w:sz w:val="22"/>
          <w:szCs w:val="22"/>
        </w:rPr>
      </w:pPr>
      <w:r>
        <w:rPr>
          <w:lang w:val="es-CL" w:eastAsia="es-ES"/>
          <w:rFonts w:ascii="Arial" w:hAnsi="Arial" w:cs="Arial"/>
          <w:b/>
          <w:bCs/>
          <w:color w:val="004080"/>
          <w:sz w:val="22"/>
          <w:szCs w:val="22"/>
        </w:rPr>
        <w:t>Education</w:t>
      </w:r>
    </w:p>
    <w:p>
      <w:pPr>
        <w:jc w:val="both"/>
        <w:rPr>
          <w:lang w:val="es-CL"/>
          <w:rFonts w:ascii="Arial" w:hAnsi="Arial" w:cs="Arial"/>
          <w:b/>
          <w:bCs/>
          <w:sz w:val="20"/>
        </w:rPr>
      </w:pPr>
    </w:p>
    <w:p>
      <w:pPr>
        <w:ind w:left="360"/>
        <w:jc w:val="both"/>
        <w:numPr>
          <w:ilvl w:val="0"/>
          <w:numId w:val="1"/>
        </w:numPr>
        <w:tabs>
          <w:tab w:val="num" w:pos="360"/>
        </w:tabs>
        <w:rPr>
          <w:lang w:val="en-US"/>
          <w:rFonts w:ascii="Arial" w:hAnsi="Arial" w:cs="Arial"/>
          <w:bCs/>
          <w:sz w:val="20"/>
        </w:rPr>
      </w:pPr>
      <w:r>
        <w:rPr>
          <w:lang w:val="en-US"/>
          <w:rFonts w:ascii="Arial" w:hAnsi="Arial" w:cs="Arial"/>
          <w:bCs/>
          <w:sz w:val="20"/>
        </w:rPr>
        <w:t>Master of Business Administration, Universidad Alemana de Offenburg (FachHochschule Offenburg, University of Applied Sciences).</w:t>
      </w:r>
    </w:p>
    <w:p>
      <w:pPr>
        <w:ind w:left="360"/>
        <w:jc w:val="both"/>
        <w:rPr>
          <w:lang w:val="en-US"/>
          <w:rFonts w:ascii="Arial" w:hAnsi="Arial" w:cs="Arial"/>
          <w:bCs/>
          <w:sz w:val="20"/>
        </w:rPr>
      </w:pPr>
    </w:p>
    <w:p>
      <w:pPr>
        <w:ind w:left="360"/>
        <w:jc w:val="both"/>
        <w:numPr>
          <w:ilvl w:val="0"/>
          <w:numId w:val="1"/>
        </w:numPr>
        <w:tabs>
          <w:tab w:val="num" w:pos="360"/>
        </w:tabs>
        <w:rPr>
          <w:lang w:val="es-CL"/>
          <w:rFonts w:ascii="Arial" w:hAnsi="Arial" w:cs="Arial"/>
          <w:bCs/>
          <w:sz w:val="20"/>
        </w:rPr>
      </w:pPr>
      <w:r>
        <w:rPr>
          <w:lang w:val="es-CL"/>
          <w:rFonts w:ascii="Arial" w:hAnsi="Arial" w:cs="Arial"/>
          <w:bCs/>
          <w:sz w:val="20"/>
        </w:rPr>
        <w:t>Master in Energy Economics, Universidad Federico Santa María.</w:t>
      </w:r>
    </w:p>
    <w:p>
      <w:pPr>
        <w:jc w:val="both"/>
        <w:rPr>
          <w:lang w:val="es-CL"/>
          <w:rFonts w:ascii="Arial" w:hAnsi="Arial" w:cs="Arial"/>
          <w:bCs/>
          <w:sz w:val="20"/>
        </w:rPr>
      </w:pPr>
    </w:p>
    <w:p>
      <w:pPr>
        <w:ind w:left="360"/>
        <w:jc w:val="both"/>
        <w:numPr>
          <w:ilvl w:val="0"/>
          <w:numId w:val="1"/>
        </w:numPr>
        <w:tabs>
          <w:tab w:val="num" w:pos="360"/>
        </w:tabs>
        <w:rPr>
          <w:lang w:val="es-CL"/>
          <w:rFonts w:ascii="Arial" w:hAnsi="Arial" w:cs="Arial"/>
          <w:bCs/>
          <w:sz w:val="20"/>
        </w:rPr>
      </w:pPr>
      <w:r>
        <w:rPr>
          <w:lang w:val="es-CL"/>
          <w:rFonts w:ascii="Arial" w:hAnsi="Arial" w:cs="Arial"/>
          <w:bCs/>
          <w:sz w:val="20"/>
        </w:rPr>
        <w:t>Mechanical Engineer, Universidad Federico Santa María.</w:t>
      </w:r>
    </w:p>
    <w:p>
      <w:pPr>
        <w:jc w:val="both"/>
        <w:rPr>
          <w:lang w:val="es-CL"/>
          <w:rFonts w:ascii="Arial" w:hAnsi="Arial" w:cs="Arial"/>
          <w:bCs/>
          <w:sz w:val="20"/>
        </w:rPr>
      </w:pPr>
    </w:p>
    <w:p>
      <w:pPr>
        <w:jc w:val="both"/>
        <w:tabs>
          <w:tab w:val="left" w:pos="1985"/>
        </w:tabs>
        <w:rPr>
          <w:lang w:val="es-CL"/>
          <w:rFonts w:ascii="Arial" w:hAnsi="Arial" w:cs="Arial"/>
          <w:sz w:val="20"/>
        </w:rPr>
      </w:pPr>
    </w:p>
    <w:p>
      <w:pPr>
        <w:adjustRightInd/>
        <w:autoSpaceDE w:val="off"/>
        <w:autoSpaceDN w:val="off"/>
        <w:jc w:val="both"/>
        <w:rPr>
          <w:lang w:val="es-CL" w:eastAsia="es-ES"/>
          <w:rFonts w:ascii="Arial" w:hAnsi="Arial" w:cs="Arial"/>
          <w:b/>
          <w:bCs/>
          <w:color w:val="004080"/>
          <w:sz w:val="22"/>
          <w:szCs w:val="22"/>
        </w:rPr>
      </w:pPr>
      <w:r>
        <w:rPr>
          <w:lang w:val="es-CL" w:eastAsia="es-ES"/>
          <w:rFonts w:ascii="Arial" w:hAnsi="Arial" w:cs="Arial"/>
          <w:b/>
          <w:bCs/>
          <w:color w:val="004080"/>
          <w:sz w:val="22"/>
          <w:szCs w:val="22"/>
        </w:rPr>
        <w:t>Idiomas</w:t>
      </w:r>
    </w:p>
    <w:p>
      <w:pPr>
        <w:adjustRightInd/>
        <w:autoSpaceDE w:val="off"/>
        <w:autoSpaceDN w:val="off"/>
        <w:jc w:val="both"/>
        <w:rPr>
          <w:lang w:val="es-CL" w:eastAsia="es-ES"/>
          <w:rFonts w:ascii="Arial" w:hAnsi="Arial" w:cs="Arial"/>
          <w:b/>
          <w:bCs/>
          <w:color w:val="004080"/>
          <w:sz w:val="22"/>
          <w:szCs w:val="22"/>
        </w:rPr>
      </w:pPr>
    </w:p>
    <w:p>
      <w:pPr>
        <w:adjustRightInd/>
        <w:autoSpaceDE w:val="off"/>
        <w:autoSpaceDN w:val="off"/>
        <w:jc w:val="both"/>
        <w:rPr>
          <w:lang w:val="es-CL"/>
          <w:rFonts w:ascii="Arial" w:hAnsi="Arial" w:cs="Arial"/>
          <w:sz w:val="20"/>
        </w:rPr>
      </w:pPr>
      <w:r>
        <w:rPr>
          <w:lang w:val="es-CL"/>
          <w:rFonts w:ascii="Arial" w:hAnsi="Arial" w:cs="Arial"/>
          <w:sz w:val="20"/>
        </w:rPr>
        <w:t>Español</w:t>
      </w:r>
    </w:p>
    <w:p>
      <w:pPr>
        <w:adjustRightInd/>
        <w:autoSpaceDE w:val="off"/>
        <w:autoSpaceDN w:val="off"/>
        <w:jc w:val="both"/>
        <w:rPr>
          <w:lang w:val="es-CL"/>
          <w:rFonts w:ascii="Arial" w:hAnsi="Arial" w:cs="Arial"/>
          <w:sz w:val="20"/>
        </w:rPr>
      </w:pPr>
      <w:r>
        <w:rPr>
          <w:lang w:val="es-CL"/>
          <w:rFonts w:ascii="Arial" w:hAnsi="Arial" w:cs="Arial"/>
          <w:sz w:val="20"/>
        </w:rPr>
        <w:t>Inglés</w:t>
      </w:r>
      <w:r>
        <w:rPr>
          <w:lang w:val="es-CL"/>
          <w:rFonts w:ascii="Arial" w:hAnsi="Arial" w:cs="Arial"/>
          <w:sz w:val="20"/>
        </w:rPr>
        <w:tab/>
      </w:r>
    </w:p>
    <w:sectPr>
      <w:pgSz w:w="12242" w:h="15842" w:code="1"/>
      <w:pgMar w:top="1134" w:right="1701" w:bottom="1021"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Courier New">
    <w:panose1 w:val="02070309020205020404"/>
    <w:family w:val="modern"/>
    <w:charset w:val="00"/>
    <w:notTrueType w:val="true"/>
    <w:sig w:usb0="E0002AFF" w:usb1="C0007843" w:usb2="00000009" w:usb3="00000001" w:csb0="400001FF" w:csb1="FFFF0000"/>
  </w:font>
  <w:font w:name="Arial">
    <w:panose1 w:val="020B0604020202020204"/>
    <w:family w:val="swiss"/>
    <w:charset w:val="00"/>
    <w:notTrueType w:val="true"/>
    <w:sig w:usb0="E0002AFF" w:usb1="C0007843" w:usb2="00000009" w:usb3="00000001" w:csb0="400001FF" w:csb1="FFFF0000"/>
  </w:font>
  <w:font w:name="Times New Roman">
    <w:panose1 w:val="02020603050405020304"/>
    <w:family w:val="roman"/>
    <w:charset w:val="00"/>
    <w:notTrueType w:val="true"/>
    <w:sig w:usb0="E0002AFF" w:usb1="C0007841" w:usb2="00000009" w:usb3="00000001" w:csb0="400001FF" w:csb1="FFFF0000"/>
  </w:font>
  <w:font w:name="Helv">
    <w:panose1 w:val="020B0604FFFFFFFFFFFF"/>
    <w:family w:val="swiss"/>
    <w:altName w:val="Arial"/>
    <w:charset w:val="00"/>
    <w:notTrueType w:val="false"/>
    <w:pitch w:val="variable"/>
    <w:sig w:usb0="00000003" w:usb1="00000000" w:usb2="00000000" w:usb3="00000000" w:csb0="00000001" w:csb1="00000000"/>
  </w:font>
  <w:font w:name="Wingdings">
    <w:panose1 w:val="05000000000000000000"/>
    <w:family w:val="auto"/>
    <w:charset w:val="02"/>
    <w:notTrueType w:val="true"/>
    <w:sig w:usb0="00000001" w:usb1="00000001" w:usb2="00000001" w:usb3="00000001" w:csb0="80000000" w:csb1="00000001"/>
  </w:font>
  <w:font w:name="Symbol">
    <w:panose1 w:val="05050102010706020507"/>
    <w:family w:val="roman"/>
    <w:charset w:val="02"/>
    <w:notTrueType w:val="true"/>
    <w:sig w:usb0="00000001" w:usb1="00000001" w:usb2="00000001" w:usb3="00000001" w:csb0="80000000" w:csb1="00000001"/>
  </w:font>
  <w:font w:name="Times">
    <w:panose1 w:val="02020603FFFFFFFFFFFF"/>
    <w:family w:val="roman"/>
    <w:charset w:val="00"/>
    <w:notTrueType w:val="false"/>
    <w:pitch w:val="variable"/>
    <w:sig w:usb0="7FFFFFFF" w:usb1="7FFFFFF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05540"/>
    <w:multiLevelType w:val="hybridMultilevel"/>
    <w:tmpl w:val="5e041c2a"/>
    <w:lvl w:ilvl="0" w:tplc="340a0005">
      <w:start w:val="1"/>
      <w:numFmt w:val="bullet"/>
      <w:lvlText w:val=""/>
      <w:lvlJc w:val="left"/>
      <w:pPr>
        <w:ind w:left="1080" w:hanging="360"/>
        <w:tabs>
          <w:tab w:val="num" w:pos="1080"/>
        </w:tabs>
      </w:pPr>
      <w:rPr>
        <w:rFonts w:ascii="Wingdings" w:hAnsi="Wingdings" w:hint="default"/>
      </w:rPr>
    </w:lvl>
    <w:lvl w:ilvl="1" w:tentative="on" w:tplc="340a0003">
      <w:start w:val="1"/>
      <w:numFmt w:val="bullet"/>
      <w:lvlText w:val="o"/>
      <w:lvlJc w:val="left"/>
      <w:pPr>
        <w:ind w:left="1800" w:hanging="360"/>
        <w:tabs>
          <w:tab w:val="num" w:pos="1800"/>
        </w:tabs>
      </w:pPr>
      <w:rPr>
        <w:rFonts w:ascii="Courier New" w:hAnsi="Courier New" w:cs="Courier New" w:hint="default"/>
      </w:rPr>
    </w:lvl>
    <w:lvl w:ilvl="2" w:tentative="on" w:tplc="340a0005">
      <w:start w:val="1"/>
      <w:numFmt w:val="bullet"/>
      <w:lvlText w:val=""/>
      <w:lvlJc w:val="left"/>
      <w:pPr>
        <w:ind w:left="2520" w:hanging="360"/>
        <w:tabs>
          <w:tab w:val="num" w:pos="2520"/>
        </w:tabs>
      </w:pPr>
      <w:rPr>
        <w:rFonts w:ascii="Wingdings" w:hAnsi="Wingdings" w:hint="default"/>
      </w:rPr>
    </w:lvl>
    <w:lvl w:ilvl="3" w:tentative="on" w:tplc="340a0001">
      <w:start w:val="1"/>
      <w:numFmt w:val="bullet"/>
      <w:lvlText w:val=""/>
      <w:lvlJc w:val="left"/>
      <w:pPr>
        <w:ind w:left="3240" w:hanging="360"/>
        <w:tabs>
          <w:tab w:val="num" w:pos="3240"/>
        </w:tabs>
      </w:pPr>
      <w:rPr>
        <w:rFonts w:ascii="Symbol" w:hAnsi="Symbol" w:hint="default"/>
      </w:rPr>
    </w:lvl>
    <w:lvl w:ilvl="4" w:tentative="on" w:tplc="340a0003">
      <w:start w:val="1"/>
      <w:numFmt w:val="bullet"/>
      <w:lvlText w:val="o"/>
      <w:lvlJc w:val="left"/>
      <w:pPr>
        <w:ind w:left="3960" w:hanging="360"/>
        <w:tabs>
          <w:tab w:val="num" w:pos="3960"/>
        </w:tabs>
      </w:pPr>
      <w:rPr>
        <w:rFonts w:ascii="Courier New" w:hAnsi="Courier New" w:cs="Courier New" w:hint="default"/>
      </w:rPr>
    </w:lvl>
    <w:lvl w:ilvl="5" w:tentative="on" w:tplc="340a0005">
      <w:start w:val="1"/>
      <w:numFmt w:val="bullet"/>
      <w:lvlText w:val=""/>
      <w:lvlJc w:val="left"/>
      <w:pPr>
        <w:ind w:left="4680" w:hanging="360"/>
        <w:tabs>
          <w:tab w:val="num" w:pos="4680"/>
        </w:tabs>
      </w:pPr>
      <w:rPr>
        <w:rFonts w:ascii="Wingdings" w:hAnsi="Wingdings" w:hint="default"/>
      </w:rPr>
    </w:lvl>
    <w:lvl w:ilvl="6" w:tentative="on" w:tplc="340a0001">
      <w:start w:val="1"/>
      <w:numFmt w:val="bullet"/>
      <w:lvlText w:val=""/>
      <w:lvlJc w:val="left"/>
      <w:pPr>
        <w:ind w:left="5400" w:hanging="360"/>
        <w:tabs>
          <w:tab w:val="num" w:pos="5400"/>
        </w:tabs>
      </w:pPr>
      <w:rPr>
        <w:rFonts w:ascii="Symbol" w:hAnsi="Symbol" w:hint="default"/>
      </w:rPr>
    </w:lvl>
    <w:lvl w:ilvl="7" w:tentative="on" w:tplc="340a0003">
      <w:start w:val="1"/>
      <w:numFmt w:val="bullet"/>
      <w:lvlText w:val="o"/>
      <w:lvlJc w:val="left"/>
      <w:pPr>
        <w:ind w:left="6120" w:hanging="360"/>
        <w:tabs>
          <w:tab w:val="num" w:pos="6120"/>
        </w:tabs>
      </w:pPr>
      <w:rPr>
        <w:rFonts w:ascii="Courier New" w:hAnsi="Courier New" w:cs="Courier New" w:hint="default"/>
      </w:rPr>
    </w:lvl>
    <w:lvl w:ilvl="8" w:tentative="on" w:tplc="340a0005">
      <w:start w:val="1"/>
      <w:numFmt w:val="bullet"/>
      <w:lvlText w:val=""/>
      <w:lvlJc w:val="left"/>
      <w:pPr>
        <w:ind w:left="6840" w:hanging="360"/>
        <w:tabs>
          <w:tab w:val="num" w:pos="6840"/>
        </w:tabs>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hideGrammaticalErrors/>
  <w:proofState w:spelling="clean" w:grammar="clean"/>
  <w:defaultTabStop w:val="709"/>
  <w:hyphenationZone w:val="425"/>
  <w:doNotUseMarginsForDrawingGridOrigin/>
  <w:displayHorizontalDrawingGridEvery w:val="1"/>
  <w:displayVerticalDrawingGridEvery w:val="1"/>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s-ES" w:eastAsia="ko-KR" w:bidi="ar-SA"/>
</w:settings>
</file>

<file path=word/styles.xml><?xml version="1.0" encoding="utf-8"?>
<w:styles xmlns:r="http://schemas.openxmlformats.org/officeDocument/2006/relationships" xmlns:w="http://schemas.openxmlformats.org/wordprocessingml/2006/main">
  <w:docDefaults>
    <w:rPrDefault>
      <w:rPr>
        <w:lang w:val="es-ES" w:eastAsia="es-ES" w:bidi="ar-SA"/>
        <w:rFonts w:ascii="Times New Roman" w:eastAsia="Times New Roman" w:hAnsi="Times New Roman" w:cs="Times New Roman"/>
      </w:rPr>
    </w:rPrDefault>
    <w:pPrDefault>
      <w:pPr/>
    </w:pPrDefault>
  </w:docDefaults>
  <w:style w:type="paragraph" w:default="1" w:styleId="normal">
    <w:name w:val="Normal"/>
    <w:qFormat/>
    <w:rPr>
      <w:lang w:eastAsia="es-CL"/>
      <w:sz w:val="24"/>
    </w:rPr>
  </w:style>
  <w:style w:type="character" w:default="1" w:styleId="defaultParagraphFont">
    <w:name w:val="Default Paragraph Font"/>
    <w:semiHidden/>
  </w:style>
  <w:style w:type="table" w:default="1" w:styleId="TableNormal">
    <w:name w:val="Normal Table"/>
    <w:qFormat/>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left="360"/>
      <w:jc w:val="both"/>
      <w:tabs>
        <w:tab w:val="left"/>
      </w:tabs>
      <w:spacing w:before="120"/>
    </w:pPr>
    <w:rPr>
      <w:lang w:val="en-US" w:eastAsia="en-US"/>
      <w:rFonts w:ascii="Times" w:hAnsi="Times"/>
    </w:rPr>
  </w:style>
  <w:style w:type="paragraph" w:styleId="ListParagraph">
    <w:name w:val="List Paragraph"/>
    <w:basedOn w:val="normal"/>
    <w:qFormat/>
    <w:pPr>
      <w:ind w:left="708"/>
    </w:pPr>
  </w:style>
  <w:style w:type="paragraph" w:styleId="normal">
    <w:name w:val="Normal"/>
    <w:qFormat/>
    <w:rPr>
      <w:lang w:eastAsia="es-C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thinkfree</Company>
  <SharedDoc>false</SharedDoc>
  <HyperlinksChanged>false</HyperlinksChanged>
  <AppVersion>04.2000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COMPLETO</dc:title>
  <dc:subject/>
  <dc:creator>Gianina Merello</dc:creator>
  <cp:keywords/>
  <dc:description/>
  <cp:lastModifiedBy>Daniel Pérez Gutiérrez</cp:lastModifiedBy>
  <cp:revision>1</cp:revision>
  <dcterms:created xsi:type="dcterms:W3CDTF">2016-01-08T18:05:00Z</dcterms:created>
  <dcterms:modified xsi:type="dcterms:W3CDTF">2016-01-20T18:44:04Z</dcterms:modified>
  <cp:lastPrinted>2016-01-09T13:44:00Z</cp:lastPrinted>
</cp:coreProperties>
</file>